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66" w:rsidRDefault="00F65666" w:rsidP="00F65666">
      <w:pPr>
        <w:ind w:left="7080" w:firstLine="708"/>
        <w:jc w:val="both"/>
        <w:rPr>
          <w:b/>
        </w:rPr>
      </w:pPr>
      <w:bookmarkStart w:id="0" w:name="_GoBack"/>
      <w:bookmarkEnd w:id="0"/>
      <w:r>
        <w:rPr>
          <w:b/>
        </w:rPr>
        <w:t>Załącznik nr 1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OPZ – Wymiana sterownika sygnalizacji świetlnej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1. Przedmiot zamówienia</w:t>
      </w:r>
    </w:p>
    <w:p w:rsidR="00F8603C" w:rsidRPr="00F8603C" w:rsidRDefault="00F8603C" w:rsidP="003C4F4D">
      <w:pPr>
        <w:jc w:val="both"/>
        <w:rPr>
          <w:b/>
        </w:rPr>
      </w:pPr>
      <w:r>
        <w:t xml:space="preserve">Przedmiotem zamówienia jest </w:t>
      </w:r>
      <w:r w:rsidRPr="00F8603C">
        <w:rPr>
          <w:b/>
        </w:rPr>
        <w:t>demontaż istniejącego sterownika sygnalizacji świetlnej oraz</w:t>
      </w:r>
    </w:p>
    <w:p w:rsidR="00F8603C" w:rsidRDefault="00F8603C" w:rsidP="003C4F4D">
      <w:pPr>
        <w:jc w:val="both"/>
      </w:pPr>
      <w:r w:rsidRPr="00F8603C">
        <w:rPr>
          <w:b/>
        </w:rPr>
        <w:t>dostawa, montaż, konfiguracja i uruchomienie nowego sterownika</w:t>
      </w:r>
      <w:r>
        <w:t xml:space="preserve"> zgodnego z</w:t>
      </w:r>
    </w:p>
    <w:p w:rsidR="00F8603C" w:rsidRDefault="00F8603C" w:rsidP="003C4F4D">
      <w:pPr>
        <w:jc w:val="both"/>
      </w:pPr>
      <w:r>
        <w:t>obowiązującymi normami bezpieczeństwa i kompatybilnego z istniejącą infrastrukturą</w:t>
      </w:r>
    </w:p>
    <w:p w:rsidR="00F8603C" w:rsidRDefault="00F8603C" w:rsidP="003C4F4D">
      <w:pPr>
        <w:jc w:val="both"/>
      </w:pPr>
      <w:r>
        <w:t>sygnalizacji świetlnej na skrzyżowaniu u</w:t>
      </w:r>
      <w:r w:rsidRPr="00F8603C">
        <w:t>lic: Bohaterów Westerplatte - Wojska Polskiego - gen. W. Sikorskiego w Krośnie</w:t>
      </w:r>
      <w:r>
        <w:t>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2. Wymagania techniczne sterownika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2.1. Normy i certyfikacja</w:t>
      </w:r>
    </w:p>
    <w:p w:rsidR="00F8603C" w:rsidRDefault="00F8603C" w:rsidP="003C4F4D">
      <w:pPr>
        <w:jc w:val="both"/>
      </w:pPr>
      <w:r>
        <w:t>Sterownik musi spełniać aktualne normy europejskie i krajowe, w szczególności: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12675 – funkcjonalne wymagania bezpieczeństwa sterowników sygnalizacji</w:t>
      </w:r>
    </w:p>
    <w:p w:rsidR="00F8603C" w:rsidRDefault="00F8603C" w:rsidP="003C4F4D">
      <w:pPr>
        <w:jc w:val="both"/>
      </w:pPr>
      <w:r>
        <w:rPr>
          <w:rFonts w:hint="eastAsia"/>
        </w:rPr>
        <w:t>Ś</w:t>
      </w:r>
      <w:r>
        <w:t>wietlnej,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50293 – kompatybilność elektromagnetyczna systemów sygnalizacji,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50556 – systemy sygnalizacji ruchu drogowego,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60950-1 – bezpieczeństwo urządzeń techniki informatycznej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50556:2011 Systemy sygnalizacji ruchu drogowego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 xml:space="preserve">PN-EN 50581:2013-03 Dokumentacja techniczna oceny wyrobów elektrycznych </w:t>
      </w:r>
      <w:r>
        <w:br/>
        <w:t>i elektronicznych z uwzględnieniem ograniczenia stosowania substancji niebezpiecznych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PN-EN 12675:2017-10 Kontrolery sygnalizatorów – funkcjonalne wymagania bezpieczeństwa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2.2. Parametry minimalne</w:t>
      </w:r>
    </w:p>
    <w:p w:rsidR="00F8603C" w:rsidRDefault="00F8603C" w:rsidP="003C4F4D">
      <w:pPr>
        <w:jc w:val="both"/>
      </w:pPr>
      <w:r>
        <w:t>Sterownik musi posiadać co najmniej: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 xml:space="preserve">obsługę </w:t>
      </w:r>
      <w:r w:rsidRPr="00F8603C">
        <w:rPr>
          <w:b/>
        </w:rPr>
        <w:t>grup sygnałowych</w:t>
      </w:r>
      <w:r>
        <w:t xml:space="preserve"> (lub zgodnie z inwentaryzacją),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 w:rsidRPr="00F8603C">
        <w:rPr>
          <w:b/>
        </w:rPr>
        <w:t>dwutorowy pomiar prądu i napięcia</w:t>
      </w:r>
      <w:r>
        <w:t xml:space="preserve"> kanałów wyjściowych,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 w:rsidRPr="00F8603C">
        <w:rPr>
          <w:b/>
        </w:rPr>
        <w:t>niezależny nadzór matrycy kolizji</w:t>
      </w:r>
      <w:r>
        <w:t>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 w:rsidRPr="00F8603C">
        <w:rPr>
          <w:b/>
        </w:rPr>
        <w:t>weryfikację sum kontrolnych</w:t>
      </w:r>
      <w:r>
        <w:t xml:space="preserve"> programu sygnalizacji,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zegar czasu rzeczywistego z podtrzymaniem bateryjnym,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pamięć nieulotną zabezpieczoną hasłem,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proofErr w:type="spellStart"/>
      <w:r>
        <w:t>watchdog</w:t>
      </w:r>
      <w:proofErr w:type="spellEnd"/>
      <w:r>
        <w:t xml:space="preserve"> sprzętowy.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2.3. Komunikacja i integracja</w:t>
      </w:r>
    </w:p>
    <w:p w:rsidR="00F8603C" w:rsidRDefault="00F8603C" w:rsidP="003C4F4D">
      <w:pPr>
        <w:jc w:val="both"/>
      </w:pPr>
      <w:r>
        <w:t>Sterownik musi obsługiwać: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Ethernet, RS-232/485, USB,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 xml:space="preserve">protokoły: </w:t>
      </w:r>
      <w:proofErr w:type="spellStart"/>
      <w:r w:rsidRPr="00F8603C">
        <w:rPr>
          <w:b/>
        </w:rPr>
        <w:t>ModBus</w:t>
      </w:r>
      <w:proofErr w:type="spellEnd"/>
      <w:r>
        <w:t>, X-Link lub równoważne,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współpracę z systemami ITS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3. Zakres prac wykonawcy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3.1. Demontaż i montaż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lastRenderedPageBreak/>
        <w:t>demontaż istniejącego sterownika,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montaż nowego sterownika w nowej szafie,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podłączenie wszystkich grup sygnałowych, detektorów, przycisków dla pieszych,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montaż i konfiguracja 4 szt. kamer CCTV - analityki ruchu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wykonanie niezbędnych prac elektrycznych i teletechnicznych.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wymiana okablowania.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3.2. Konfiguracja i uruchomienie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uruchomienie nowego programu sygnalizacji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konfiguracja detekcji – specjalistyczne kamery analityki ruchu drogowego,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włączenie kamer detekcji do systemu sterowania ruchem,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testy bezpieczeństwa, testy kolizyjne,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uruchomienie sygnalizacji w ruchu rzeczywistym.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3.3. Dokumentacja</w:t>
      </w:r>
    </w:p>
    <w:p w:rsidR="00F8603C" w:rsidRDefault="00F8603C" w:rsidP="003C4F4D">
      <w:pPr>
        <w:jc w:val="both"/>
      </w:pPr>
      <w:r>
        <w:t>Wykonawca dostarczy: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schematy elektryczne powykonawcze,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konfigurację sterownika w formie elektronicznej,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protokoły testów i odbiorów,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schematy i instrukcje.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4. Wymagania dotyczące oprogramowania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oprogramowanie do konfiguracji musi być dostarczone bez dodatkowych opłat licencyjnych,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dostęp do logów, historii zdarzeń, stanów grup sygnałowych,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możliwość zdalnego dostępu (HTTPS/WWW) z poziomami uprawnień.</w:t>
      </w:r>
    </w:p>
    <w:p w:rsidR="00F8603C" w:rsidRPr="00F8603C" w:rsidRDefault="00F8603C" w:rsidP="003C4F4D">
      <w:pPr>
        <w:jc w:val="both"/>
        <w:rPr>
          <w:b/>
        </w:rPr>
      </w:pPr>
      <w:r w:rsidRPr="00F8603C">
        <w:rPr>
          <w:b/>
        </w:rPr>
        <w:t>5. Gwarancja i serwis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minimum 36 miesięcy gwarancji</w:t>
      </w:r>
    </w:p>
    <w:p w:rsidR="00F8603C" w:rsidRPr="00F8603C" w:rsidRDefault="00D101F8" w:rsidP="003C4F4D">
      <w:pPr>
        <w:jc w:val="both"/>
        <w:rPr>
          <w:b/>
        </w:rPr>
      </w:pPr>
      <w:r>
        <w:rPr>
          <w:b/>
        </w:rPr>
        <w:t xml:space="preserve">7. Opcje dodatkowe 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integracja z systemem priorytetu dla komunikacji miejskiej,</w:t>
      </w:r>
    </w:p>
    <w:p w:rsidR="00F8603C" w:rsidRDefault="00F8603C" w:rsidP="003C4F4D">
      <w:pPr>
        <w:pStyle w:val="Akapitzlist"/>
        <w:numPr>
          <w:ilvl w:val="0"/>
          <w:numId w:val="1"/>
        </w:numPr>
        <w:jc w:val="both"/>
      </w:pPr>
      <w:r>
        <w:t>integracja z systemem monitoringu ruchu,</w:t>
      </w:r>
    </w:p>
    <w:p w:rsidR="00D101F8" w:rsidRDefault="00F8603C" w:rsidP="003C4F4D">
      <w:pPr>
        <w:pStyle w:val="Akapitzlist"/>
        <w:numPr>
          <w:ilvl w:val="0"/>
          <w:numId w:val="1"/>
        </w:numPr>
        <w:jc w:val="both"/>
      </w:pPr>
      <w:r>
        <w:t xml:space="preserve">wymiana </w:t>
      </w:r>
      <w:proofErr w:type="spellStart"/>
      <w:r>
        <w:t>wideodetakcji</w:t>
      </w:r>
      <w:proofErr w:type="spellEnd"/>
      <w:r>
        <w:t xml:space="preserve"> (kamery analityki ruchu)</w:t>
      </w:r>
    </w:p>
    <w:p w:rsidR="00D101F8" w:rsidRDefault="00D101F8" w:rsidP="003C4F4D">
      <w:pPr>
        <w:pStyle w:val="Akapitzlist"/>
        <w:ind w:left="768"/>
        <w:jc w:val="both"/>
      </w:pPr>
    </w:p>
    <w:p w:rsidR="00F8603C" w:rsidRPr="00D101F8" w:rsidRDefault="00D101F8" w:rsidP="003C4F4D">
      <w:pPr>
        <w:jc w:val="both"/>
        <w:rPr>
          <w:b/>
        </w:rPr>
      </w:pPr>
      <w:r w:rsidRPr="00D101F8">
        <w:rPr>
          <w:b/>
        </w:rPr>
        <w:t xml:space="preserve">8. </w:t>
      </w:r>
      <w:r w:rsidR="00F8603C" w:rsidRPr="00D101F8">
        <w:rPr>
          <w:b/>
        </w:rPr>
        <w:t>Waru</w:t>
      </w:r>
      <w:r w:rsidRPr="00D101F8">
        <w:rPr>
          <w:b/>
        </w:rPr>
        <w:t xml:space="preserve">nki techniczne dla sterownika: </w:t>
      </w:r>
    </w:p>
    <w:p w:rsidR="00F8603C" w:rsidRDefault="00F8603C" w:rsidP="003C4F4D">
      <w:pPr>
        <w:jc w:val="both"/>
      </w:pPr>
      <w:r>
        <w:t>Wymagania na sterownik sygnalizacji świetlnej.</w:t>
      </w:r>
    </w:p>
    <w:p w:rsidR="00F8603C" w:rsidRDefault="00F8603C" w:rsidP="003C4F4D">
      <w:pPr>
        <w:jc w:val="both"/>
      </w:pPr>
      <w:r>
        <w:t>Wymagania podstawowe</w:t>
      </w:r>
    </w:p>
    <w:p w:rsidR="00F8603C" w:rsidRDefault="00F8603C" w:rsidP="003C4F4D">
      <w:pPr>
        <w:pStyle w:val="Akapitzlist"/>
        <w:numPr>
          <w:ilvl w:val="0"/>
          <w:numId w:val="9"/>
        </w:numPr>
        <w:ind w:left="284" w:hanging="284"/>
        <w:jc w:val="both"/>
      </w:pPr>
      <w:r>
        <w:t>Każdy sterownik sygnalizacji świetlnej musi spełniać wymagania określone w</w:t>
      </w:r>
      <w:r w:rsidR="003C4F4D">
        <w:t xml:space="preserve"> </w:t>
      </w:r>
      <w:r>
        <w:t>Rozporządzeniu Ministra Infrastruktury w sprawie szczegółowych warunków</w:t>
      </w:r>
      <w:r w:rsidR="003C4F4D">
        <w:t xml:space="preserve"> </w:t>
      </w:r>
      <w:r>
        <w:t>technicznych dla znaków i sygnałów drogowych oraz urządzeń bezpieczeństwa ruchu</w:t>
      </w:r>
      <w:r w:rsidR="003C4F4D">
        <w:t xml:space="preserve"> </w:t>
      </w:r>
      <w:r>
        <w:t>drogowego i warunków umieszczania ich na drogach, Dz. U. 2019 r. poz. 2311.Sterownik</w:t>
      </w:r>
      <w:r w:rsidR="003C4F4D">
        <w:t xml:space="preserve"> </w:t>
      </w:r>
      <w:r>
        <w:t>musi spełniać wymagania określone odrębnymi przepisami o budowie urządzeń</w:t>
      </w:r>
      <w:r w:rsidR="003C4F4D">
        <w:t xml:space="preserve"> </w:t>
      </w:r>
      <w:r>
        <w:t>elektrycznych, a także odpowiednimi normami a w szczególności:</w:t>
      </w:r>
    </w:p>
    <w:p w:rsidR="00F8603C" w:rsidRDefault="00F8603C" w:rsidP="003C4F4D">
      <w:pPr>
        <w:pStyle w:val="Akapitzlist"/>
        <w:numPr>
          <w:ilvl w:val="0"/>
          <w:numId w:val="10"/>
        </w:numPr>
        <w:jc w:val="both"/>
      </w:pPr>
      <w:r>
        <w:t>PN-EN 50293:2012 Systemy sygnalizacji ruchu drogowego – kompatybilność</w:t>
      </w:r>
      <w:r w:rsidR="003C4F4D">
        <w:t xml:space="preserve"> </w:t>
      </w:r>
      <w:r>
        <w:t>elektromagnetyczna</w:t>
      </w:r>
    </w:p>
    <w:p w:rsidR="00F8603C" w:rsidRDefault="00F8603C" w:rsidP="003C4F4D">
      <w:pPr>
        <w:pStyle w:val="Akapitzlist"/>
        <w:numPr>
          <w:ilvl w:val="0"/>
          <w:numId w:val="10"/>
        </w:numPr>
        <w:jc w:val="both"/>
      </w:pPr>
      <w:r>
        <w:lastRenderedPageBreak/>
        <w:t>PN-EN 50556:2011 Systemy sygnalizacji ruchu drogowego</w:t>
      </w:r>
    </w:p>
    <w:p w:rsidR="00F8603C" w:rsidRDefault="00F8603C" w:rsidP="003C4F4D">
      <w:pPr>
        <w:pStyle w:val="Akapitzlist"/>
        <w:numPr>
          <w:ilvl w:val="0"/>
          <w:numId w:val="10"/>
        </w:numPr>
        <w:jc w:val="both"/>
      </w:pPr>
      <w:r>
        <w:t>PN-EN 50581:2013-03 Dokumentacja techniczna oceny wyrobów elektrycznych</w:t>
      </w:r>
      <w:r w:rsidR="003C4F4D">
        <w:t xml:space="preserve"> </w:t>
      </w:r>
      <w:r w:rsidR="003C4F4D">
        <w:br/>
      </w:r>
      <w:r>
        <w:t>i elektronicznych z uwzględnieniem ograniczenia stosowania substancji</w:t>
      </w:r>
      <w:r w:rsidR="003C4F4D">
        <w:t xml:space="preserve"> </w:t>
      </w:r>
      <w:r>
        <w:t>niebezpiecznych</w:t>
      </w:r>
    </w:p>
    <w:p w:rsidR="00F8603C" w:rsidRDefault="00F8603C" w:rsidP="003C4F4D">
      <w:pPr>
        <w:pStyle w:val="Akapitzlist"/>
        <w:numPr>
          <w:ilvl w:val="0"/>
          <w:numId w:val="10"/>
        </w:numPr>
        <w:jc w:val="both"/>
      </w:pPr>
      <w:r>
        <w:t>PN-EN 12675:2017-10 Kontrolery sygnalizatorów – funkcjonalne wymagania</w:t>
      </w:r>
      <w:r w:rsidR="003C4F4D">
        <w:t xml:space="preserve"> </w:t>
      </w:r>
      <w:r>
        <w:t>bezpieczeństwa</w:t>
      </w:r>
    </w:p>
    <w:p w:rsidR="00F8603C" w:rsidRDefault="00F8603C" w:rsidP="003C4F4D">
      <w:pPr>
        <w:pStyle w:val="Akapitzlist"/>
        <w:numPr>
          <w:ilvl w:val="0"/>
          <w:numId w:val="11"/>
        </w:numPr>
        <w:ind w:left="0" w:hanging="284"/>
        <w:jc w:val="both"/>
      </w:pPr>
      <w:r>
        <w:t xml:space="preserve"> Zamawiający wymaga przedstawienia odpowiednich certyfikatów wydanych przez</w:t>
      </w:r>
      <w:r w:rsidR="003C4F4D">
        <w:t xml:space="preserve"> </w:t>
      </w:r>
      <w:r>
        <w:t>niezależne jednostki uprawnione do potwierdzenia spełnienia w/w norm.</w:t>
      </w:r>
    </w:p>
    <w:p w:rsidR="00F8603C" w:rsidRDefault="00F8603C" w:rsidP="003C4F4D">
      <w:pPr>
        <w:pStyle w:val="Akapitzlist"/>
        <w:numPr>
          <w:ilvl w:val="0"/>
          <w:numId w:val="11"/>
        </w:numPr>
        <w:ind w:left="0" w:hanging="284"/>
        <w:jc w:val="both"/>
      </w:pPr>
      <w:r>
        <w:t xml:space="preserve"> Dostarczony sterownik musi być fabrycznie nowym i dostępnym w ofercie producenta.</w:t>
      </w:r>
      <w:r w:rsidR="003C4F4D">
        <w:t xml:space="preserve"> </w:t>
      </w:r>
      <w:r>
        <w:t>Zamawiający nie dopuszcza zastosowania sterowników wycofanych z produkcji.</w:t>
      </w:r>
    </w:p>
    <w:p w:rsidR="00F8603C" w:rsidRDefault="00F8603C" w:rsidP="003C4F4D">
      <w:pPr>
        <w:pStyle w:val="Akapitzlist"/>
        <w:numPr>
          <w:ilvl w:val="0"/>
          <w:numId w:val="11"/>
        </w:numPr>
        <w:ind w:left="0" w:hanging="284"/>
        <w:jc w:val="both"/>
      </w:pPr>
      <w:r>
        <w:t xml:space="preserve"> Sterownik musi bazować na bezpiecznej i elastycznej </w:t>
      </w:r>
      <w:proofErr w:type="spellStart"/>
      <w:r>
        <w:t>pla</w:t>
      </w:r>
      <w:proofErr w:type="spellEnd"/>
      <w:r w:rsidRPr="003C4F4D">
        <w:rPr>
          <w:rFonts w:ascii="Calibri" w:hAnsi="Calibri" w:cs="Calibri"/>
        </w:rPr>
        <w:t>􀆞</w:t>
      </w:r>
      <w:proofErr w:type="spellStart"/>
      <w:r>
        <w:t>ormie</w:t>
      </w:r>
      <w:proofErr w:type="spellEnd"/>
      <w:r>
        <w:t xml:space="preserve"> sprzętowej o</w:t>
      </w:r>
      <w:r w:rsidR="003C4F4D">
        <w:t xml:space="preserve"> </w:t>
      </w:r>
      <w:r>
        <w:t>konstrukcji odpornej na trudne warunki atmosferyczne, łatwej w utrzymaniu oraz</w:t>
      </w:r>
      <w:r w:rsidR="003C4F4D">
        <w:t xml:space="preserve"> </w:t>
      </w:r>
      <w:r>
        <w:t>trwałej w eksploatacji.</w:t>
      </w:r>
    </w:p>
    <w:p w:rsidR="00F8603C" w:rsidRDefault="00F8603C" w:rsidP="003C4F4D">
      <w:pPr>
        <w:pStyle w:val="Akapitzlist"/>
        <w:numPr>
          <w:ilvl w:val="0"/>
          <w:numId w:val="11"/>
        </w:numPr>
        <w:ind w:left="0" w:hanging="284"/>
        <w:jc w:val="both"/>
      </w:pPr>
      <w:r>
        <w:t xml:space="preserve"> Sterownik musi zapewniać uniwersalne możliwości łączności z urządzeniami</w:t>
      </w:r>
      <w:r w:rsidR="003C4F4D">
        <w:t xml:space="preserve"> </w:t>
      </w:r>
      <w:r>
        <w:t>zewnętrznymi, możliwość współpracy obszarowej połączonych ze sobą kilku</w:t>
      </w:r>
      <w:r w:rsidR="003C4F4D">
        <w:t xml:space="preserve"> </w:t>
      </w:r>
      <w:r>
        <w:t>niezależnych sterowników,</w:t>
      </w:r>
    </w:p>
    <w:p w:rsidR="00F8603C" w:rsidRDefault="00F8603C" w:rsidP="003C4F4D">
      <w:pPr>
        <w:pStyle w:val="Akapitzlist"/>
        <w:numPr>
          <w:ilvl w:val="0"/>
          <w:numId w:val="11"/>
        </w:numPr>
        <w:ind w:left="0" w:hanging="284"/>
        <w:jc w:val="both"/>
      </w:pPr>
      <w:r>
        <w:t xml:space="preserve"> Sterownik musi mieć konstrukcję modułową z możliwością łatwej wymiany (lub zmiany</w:t>
      </w:r>
      <w:r w:rsidR="003C4F4D">
        <w:t xml:space="preserve"> </w:t>
      </w:r>
      <w:r>
        <w:t>kolejności) modułów w przypadku awarii urządzenia.</w:t>
      </w:r>
    </w:p>
    <w:p w:rsidR="00F8603C" w:rsidRDefault="00F8603C" w:rsidP="003C4F4D">
      <w:pPr>
        <w:pStyle w:val="Akapitzlist"/>
        <w:numPr>
          <w:ilvl w:val="0"/>
          <w:numId w:val="12"/>
        </w:numPr>
        <w:ind w:left="0" w:hanging="284"/>
        <w:jc w:val="both"/>
      </w:pPr>
      <w:r>
        <w:t>Dostarczony sterownik powinien być w maksymalnym stopniu kompatybilny z</w:t>
      </w:r>
      <w:r w:rsidR="003C4F4D">
        <w:t xml:space="preserve"> </w:t>
      </w:r>
      <w:r>
        <w:t>istniejącą na terenie miasta infrastrukturą. Zamawiający wymaga aby sterownik był</w:t>
      </w:r>
      <w:r w:rsidR="003C4F4D">
        <w:t xml:space="preserve"> </w:t>
      </w:r>
      <w:r>
        <w:t>kompatybilny z co najmniej dwoma typami sterowników eksploatowanych na terenie</w:t>
      </w:r>
      <w:r w:rsidR="003C4F4D">
        <w:t xml:space="preserve"> </w:t>
      </w:r>
      <w:r>
        <w:t>miasta. Przez kompatybilność sterowników rozumie się: możliwość wymiany danych o: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stanie grup sygnalizacyjnych (fizycznych i logicznych),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stanie detektorów,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stanie wejść sprzętowych i programowych,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numerze realizowanego planu,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numerze realizowanej fazy,</w:t>
      </w:r>
    </w:p>
    <w:p w:rsidR="00F8603C" w:rsidRDefault="00F8603C" w:rsidP="003C4F4D">
      <w:pPr>
        <w:pStyle w:val="Akapitzlist"/>
        <w:numPr>
          <w:ilvl w:val="0"/>
          <w:numId w:val="13"/>
        </w:numPr>
        <w:jc w:val="both"/>
      </w:pPr>
      <w:r>
        <w:t>wartości licznika cyklu i licznika bazowego</w:t>
      </w:r>
    </w:p>
    <w:p w:rsidR="00F8603C" w:rsidRDefault="00F8603C" w:rsidP="003C4F4D">
      <w:pPr>
        <w:jc w:val="both"/>
      </w:pPr>
      <w:r>
        <w:t>pomiędzy sterownikiem dostarczanym</w:t>
      </w:r>
      <w:r w:rsidR="003C4F4D">
        <w:t xml:space="preserve"> przez Wykonawcę a sterownikami </w:t>
      </w:r>
      <w:r>
        <w:t>eksploatowanymi na terenie miasta, bez za</w:t>
      </w:r>
      <w:r w:rsidR="003C4F4D">
        <w:t xml:space="preserve">stosowania dodatkowych urządzeń </w:t>
      </w:r>
      <w:r>
        <w:t>pośredniczących.</w:t>
      </w:r>
    </w:p>
    <w:p w:rsidR="003C4F4D" w:rsidRDefault="003C4F4D" w:rsidP="003C4F4D">
      <w:pPr>
        <w:jc w:val="both"/>
      </w:pPr>
    </w:p>
    <w:p w:rsidR="00F8603C" w:rsidRPr="003C4F4D" w:rsidRDefault="00F8603C" w:rsidP="003C4F4D">
      <w:pPr>
        <w:jc w:val="both"/>
        <w:rPr>
          <w:b/>
        </w:rPr>
      </w:pPr>
      <w:r w:rsidRPr="003C4F4D">
        <w:rPr>
          <w:b/>
        </w:rPr>
        <w:t>Wymagania funkcjonalne</w:t>
      </w:r>
    </w:p>
    <w:p w:rsidR="00F8603C" w:rsidRDefault="00F8603C" w:rsidP="003C4F4D">
      <w:pPr>
        <w:jc w:val="both"/>
      </w:pPr>
      <w:r>
        <w:t>Sterownik musi umożliwiać:</w:t>
      </w:r>
    </w:p>
    <w:p w:rsidR="00F8603C" w:rsidRDefault="00F8603C" w:rsidP="003C4F4D">
      <w:pPr>
        <w:pStyle w:val="Akapitzlist"/>
        <w:numPr>
          <w:ilvl w:val="0"/>
          <w:numId w:val="14"/>
        </w:numPr>
        <w:jc w:val="both"/>
      </w:pPr>
      <w:r>
        <w:t>Realizację dowolnego algorytmu sterowania: grupowego, fazowego, acyklicznego,</w:t>
      </w:r>
      <w:r w:rsidR="00DD42D8">
        <w:t xml:space="preserve"> </w:t>
      </w:r>
      <w:r>
        <w:t xml:space="preserve">akomodowanego, </w:t>
      </w:r>
      <w:proofErr w:type="spellStart"/>
      <w:r>
        <w:t>stałoczasowego</w:t>
      </w:r>
      <w:proofErr w:type="spellEnd"/>
      <w:r>
        <w:t>, koordynowanego a w szczególności adaptacyjnego</w:t>
      </w:r>
      <w:r w:rsidR="00DD42D8">
        <w:t xml:space="preserve"> </w:t>
      </w:r>
      <w:r>
        <w:t>(w tym koordynacji adaptacyjnej). Przez sterowanie adaptacyjne rozumie się algorytm</w:t>
      </w:r>
      <w:r w:rsidR="00DD42D8">
        <w:t xml:space="preserve"> </w:t>
      </w:r>
      <w:r>
        <w:t>bazujący na pomiarach ruchu z wykorzystaniem pętli indukcyjnych znajdujących się</w:t>
      </w:r>
      <w:r w:rsidR="00DD42D8">
        <w:t xml:space="preserve"> </w:t>
      </w:r>
      <w:r>
        <w:t>przed linią warunkowego zatrzymania. Funkcjonalność tego trybu ma polegać między</w:t>
      </w:r>
      <w:r w:rsidR="00DD42D8">
        <w:t xml:space="preserve"> </w:t>
      </w:r>
      <w:r>
        <w:t>innymi na płynnym, dynamicznym doborze maksymalnego czasu zielonego (w ramach</w:t>
      </w:r>
      <w:r w:rsidR="00DD42D8">
        <w:t xml:space="preserve"> </w:t>
      </w:r>
      <w:r>
        <w:t>zdefiniowanych wartości minimalnych i maksymalnych czasu maksymalnego) dla</w:t>
      </w:r>
      <w:r w:rsidR="00DD42D8">
        <w:t xml:space="preserve"> </w:t>
      </w:r>
      <w:r>
        <w:t>wybranych grup sygnałowych i akomodacja tego okresu z wykorzystaniem detekcji</w:t>
      </w:r>
      <w:r w:rsidR="00DD42D8">
        <w:t xml:space="preserve"> </w:t>
      </w:r>
      <w:r>
        <w:t>lokalnej. Konfiguracja musi odbywać się przy użyciu podstawowego narzędzia</w:t>
      </w:r>
      <w:r w:rsidR="00DD42D8">
        <w:t xml:space="preserve"> </w:t>
      </w:r>
      <w:r>
        <w:t>służącego do programowania sterownika i musi mieć możliwość zdalnej modyfikacji</w:t>
      </w:r>
      <w:r w:rsidR="00DD42D8">
        <w:t xml:space="preserve"> </w:t>
      </w:r>
      <w:r>
        <w:t>parametrów sterujących z wykorzystaniem wbudowanego interfejsu WEB sterownika.</w:t>
      </w:r>
      <w:r w:rsidR="00DD42D8">
        <w:t xml:space="preserve"> </w:t>
      </w:r>
      <w:r>
        <w:t>System adaptacyjny musi być zdecentralizowany i bazować na prostej strukturze bez</w:t>
      </w:r>
      <w:r w:rsidR="00DD42D8">
        <w:t xml:space="preserve"> </w:t>
      </w:r>
      <w:r>
        <w:t>udziału serwera centralnego. Nie dopuszcza się rozwiązań, gdzie moduł programowy</w:t>
      </w:r>
      <w:r w:rsidR="00DD42D8">
        <w:t xml:space="preserve"> </w:t>
      </w:r>
      <w:r>
        <w:t>systemu adaptacyjnego jest zaimplementowany na module nie będącym integralną</w:t>
      </w:r>
      <w:r w:rsidR="00DD42D8">
        <w:t xml:space="preserve"> </w:t>
      </w:r>
      <w:r>
        <w:t>częścią sterownika. Ponadto wymaga się funkcjonalności polegającej na dostarczaniu</w:t>
      </w:r>
      <w:r w:rsidR="00DD42D8">
        <w:t xml:space="preserve"> </w:t>
      </w:r>
      <w:r>
        <w:t xml:space="preserve">szczegółowych informacji dotyczących warunków ruchu takich jak poziom </w:t>
      </w:r>
      <w:r>
        <w:lastRenderedPageBreak/>
        <w:t>obsługi,</w:t>
      </w:r>
      <w:r w:rsidR="00DD42D8">
        <w:t xml:space="preserve"> </w:t>
      </w:r>
      <w:r>
        <w:t>natężenie nasycenia, przepustowości, opóźnienia, straty czasu w cyklu, szacowaną</w:t>
      </w:r>
      <w:r w:rsidR="00DD42D8">
        <w:t xml:space="preserve"> </w:t>
      </w:r>
      <w:r>
        <w:t>długość kolejek, sugerowaną optymalna długość cyklu.</w:t>
      </w:r>
    </w:p>
    <w:p w:rsidR="00F8603C" w:rsidRDefault="00F8603C" w:rsidP="003C4F4D">
      <w:pPr>
        <w:pStyle w:val="Akapitzlist"/>
        <w:numPr>
          <w:ilvl w:val="0"/>
          <w:numId w:val="15"/>
        </w:numPr>
        <w:jc w:val="both"/>
      </w:pPr>
      <w:r>
        <w:t>Realizację obsługi priorytetu dla pojazdów komunikacji publicznej wprowadzaną w</w:t>
      </w:r>
      <w:r w:rsidR="00DD42D8">
        <w:t xml:space="preserve"> </w:t>
      </w:r>
      <w:r>
        <w:t>sposób sparametryzowany przy użyciu dedykowanego oprogramowania</w:t>
      </w:r>
      <w:r w:rsidR="00DD42D8">
        <w:t xml:space="preserve"> </w:t>
      </w:r>
      <w:r>
        <w:t>narzędziowego producenta sterownika. Od realizacji tej funkcji wymaga się w</w:t>
      </w:r>
      <w:r w:rsidR="00DD42D8">
        <w:t xml:space="preserve"> </w:t>
      </w:r>
      <w:r>
        <w:t>szczególności możliwości określenia sposobu nadawania priorytetu (priorytet niski,</w:t>
      </w:r>
      <w:r w:rsidR="00DD42D8">
        <w:t xml:space="preserve"> </w:t>
      </w:r>
      <w:r>
        <w:rPr>
          <w:rFonts w:hint="eastAsia"/>
        </w:rPr>
        <w:t>ś</w:t>
      </w:r>
      <w:r>
        <w:t>redni, wysoki) i na tej podstawie wywołanie odpowiedniej fazy / grupy sygnałowej</w:t>
      </w:r>
      <w:r w:rsidR="00DD42D8">
        <w:t xml:space="preserve"> </w:t>
      </w:r>
      <w:r>
        <w:t>(przy priorytecie wysokim pomijanie faz kolizyjnych i wywołanie fazy priorytetowej a</w:t>
      </w:r>
      <w:r w:rsidR="00DD42D8">
        <w:t xml:space="preserve"> </w:t>
      </w:r>
      <w:r>
        <w:t>po zakończeniu priorytetu powrót do obsługi faz pominiętych).</w:t>
      </w:r>
    </w:p>
    <w:p w:rsidR="00F8603C" w:rsidRDefault="00F8603C" w:rsidP="003C4F4D">
      <w:pPr>
        <w:pStyle w:val="Akapitzlist"/>
        <w:numPr>
          <w:ilvl w:val="0"/>
          <w:numId w:val="16"/>
        </w:numPr>
        <w:jc w:val="both"/>
      </w:pPr>
      <w:r>
        <w:t>Możliwość zmiany programu pracy sygnalizacji bez konieczności wymiany jakichkolwiek</w:t>
      </w:r>
      <w:r w:rsidR="00DD42D8">
        <w:t xml:space="preserve"> </w:t>
      </w:r>
      <w:r>
        <w:t>elementów sprzętowych sterownika.</w:t>
      </w:r>
    </w:p>
    <w:p w:rsidR="00F8603C" w:rsidRDefault="00F8603C" w:rsidP="003C4F4D">
      <w:pPr>
        <w:pStyle w:val="Akapitzlist"/>
        <w:numPr>
          <w:ilvl w:val="0"/>
          <w:numId w:val="16"/>
        </w:numPr>
        <w:jc w:val="both"/>
      </w:pPr>
      <w:r>
        <w:t>Przyporządkowanie dowolnego kanału wyjściowego modułów wykonawczych (kart</w:t>
      </w:r>
      <w:r w:rsidR="00DD42D8">
        <w:t xml:space="preserve"> </w:t>
      </w:r>
      <w:r>
        <w:t>grup) do dowolnego sygnału w logicznych grupach sygnałowych</w:t>
      </w:r>
    </w:p>
    <w:p w:rsidR="00F8603C" w:rsidRDefault="00F8603C" w:rsidP="003C4F4D">
      <w:pPr>
        <w:pStyle w:val="Akapitzlist"/>
        <w:numPr>
          <w:ilvl w:val="0"/>
          <w:numId w:val="16"/>
        </w:numPr>
        <w:jc w:val="both"/>
      </w:pPr>
      <w:r>
        <w:t>Zmianę kolejności modułów wykonawczych (grup sygnałowych), modułów pętli</w:t>
      </w:r>
      <w:r w:rsidR="00DD42D8">
        <w:t xml:space="preserve"> </w:t>
      </w:r>
      <w:r>
        <w:t>indukcyjnych bez konieczności ich przeprogramowywania lub przełączania</w:t>
      </w:r>
      <w:r w:rsidR="00DD42D8">
        <w:t xml:space="preserve"> </w:t>
      </w:r>
      <w:r>
        <w:t>przełączników kodujących</w:t>
      </w:r>
    </w:p>
    <w:p w:rsidR="00F8603C" w:rsidRDefault="00F8603C" w:rsidP="003C4F4D">
      <w:pPr>
        <w:pStyle w:val="Akapitzlist"/>
        <w:numPr>
          <w:ilvl w:val="0"/>
          <w:numId w:val="16"/>
        </w:numPr>
        <w:jc w:val="both"/>
      </w:pPr>
      <w:r>
        <w:t>Wykrywanie w obwodach wykonawczych braku obciążania, nadmiaru obciążenia,</w:t>
      </w:r>
      <w:r w:rsidR="00DD42D8">
        <w:t xml:space="preserve"> </w:t>
      </w:r>
      <w:r>
        <w:t>braku napięcia, nadmiaru napięcia dla każdego źródła światła w czasie nie dłuższym niż</w:t>
      </w:r>
      <w:r w:rsidR="00DD42D8">
        <w:t xml:space="preserve"> </w:t>
      </w:r>
      <w:r>
        <w:t>300ms.</w:t>
      </w:r>
    </w:p>
    <w:p w:rsidR="00F8603C" w:rsidRDefault="00F8603C" w:rsidP="003C4F4D">
      <w:pPr>
        <w:pStyle w:val="Akapitzlist"/>
        <w:numPr>
          <w:ilvl w:val="0"/>
          <w:numId w:val="16"/>
        </w:numPr>
        <w:jc w:val="both"/>
      </w:pPr>
      <w:r>
        <w:t>Nadzór detektorów ruchu pozwalający na definiowanie reakcji sterownika na błędy</w:t>
      </w:r>
      <w:r w:rsidR="00DD42D8">
        <w:t xml:space="preserve"> </w:t>
      </w:r>
      <w:r>
        <w:t>poszczególnych detektorów:</w:t>
      </w:r>
    </w:p>
    <w:p w:rsidR="00F8603C" w:rsidRDefault="00F8603C" w:rsidP="00DD42D8">
      <w:pPr>
        <w:pStyle w:val="Akapitzlist"/>
        <w:numPr>
          <w:ilvl w:val="0"/>
          <w:numId w:val="17"/>
        </w:numPr>
        <w:ind w:firstLine="273"/>
        <w:jc w:val="both"/>
      </w:pPr>
      <w:r>
        <w:t>zwarcie / przerwa,</w:t>
      </w:r>
    </w:p>
    <w:p w:rsidR="00F8603C" w:rsidRDefault="00F8603C" w:rsidP="00DD42D8">
      <w:pPr>
        <w:pStyle w:val="Akapitzlist"/>
        <w:numPr>
          <w:ilvl w:val="0"/>
          <w:numId w:val="17"/>
        </w:numPr>
        <w:ind w:firstLine="273"/>
        <w:jc w:val="both"/>
      </w:pPr>
      <w:r>
        <w:t>stała aktywność,</w:t>
      </w:r>
    </w:p>
    <w:p w:rsidR="00F8603C" w:rsidRDefault="00F8603C" w:rsidP="00DD42D8">
      <w:pPr>
        <w:pStyle w:val="Akapitzlist"/>
        <w:numPr>
          <w:ilvl w:val="0"/>
          <w:numId w:val="17"/>
        </w:numPr>
        <w:ind w:firstLine="273"/>
        <w:jc w:val="both"/>
      </w:pPr>
      <w:r>
        <w:t>stała nieaktywność,</w:t>
      </w:r>
    </w:p>
    <w:p w:rsidR="00F8603C" w:rsidRDefault="00F8603C" w:rsidP="00DD42D8">
      <w:pPr>
        <w:pStyle w:val="Akapitzlist"/>
        <w:numPr>
          <w:ilvl w:val="0"/>
          <w:numId w:val="17"/>
        </w:numPr>
        <w:ind w:firstLine="273"/>
        <w:jc w:val="both"/>
      </w:pPr>
      <w:r>
        <w:t>zbyt duża liczba wykrytych pojazdów w zdefiniowanym przedziale czasu</w:t>
      </w:r>
    </w:p>
    <w:p w:rsidR="00F8603C" w:rsidRDefault="00F8603C" w:rsidP="00DD42D8">
      <w:pPr>
        <w:pStyle w:val="Akapitzlist"/>
        <w:numPr>
          <w:ilvl w:val="0"/>
          <w:numId w:val="17"/>
        </w:numPr>
        <w:ind w:firstLine="273"/>
        <w:jc w:val="both"/>
      </w:pPr>
      <w:r>
        <w:t>oraz określenie reakcji na wykrytą nieprawidłowość: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przejście do trybu pracy ostrzegawczej,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przejęcie funkcji detektora przez inny detektor,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wygenerowanie błędu,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przełączenie detektora w tryb błędu (stała aktywność lub wyłączenie</w:t>
      </w:r>
      <w:r w:rsidR="003C4F4D">
        <w:t xml:space="preserve"> </w:t>
      </w:r>
      <w:r>
        <w:t>detektora),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wyłączenie tylko zgłaszania</w:t>
      </w:r>
    </w:p>
    <w:p w:rsidR="00F8603C" w:rsidRDefault="00F8603C" w:rsidP="00DD42D8">
      <w:pPr>
        <w:pStyle w:val="Akapitzlist"/>
        <w:numPr>
          <w:ilvl w:val="0"/>
          <w:numId w:val="17"/>
        </w:numPr>
        <w:ind w:left="1418" w:firstLine="273"/>
        <w:jc w:val="both"/>
      </w:pPr>
      <w:r>
        <w:t>wyłączenie tylko wydłużania przez detektor na którym wykryty został</w:t>
      </w:r>
      <w:r w:rsidR="003C4F4D">
        <w:t xml:space="preserve"> </w:t>
      </w:r>
      <w:r>
        <w:t>błąd.</w:t>
      </w:r>
    </w:p>
    <w:p w:rsidR="00F8603C" w:rsidRDefault="00F8603C" w:rsidP="003C4F4D">
      <w:pPr>
        <w:pStyle w:val="Akapitzlist"/>
        <w:numPr>
          <w:ilvl w:val="0"/>
          <w:numId w:val="18"/>
        </w:numPr>
        <w:jc w:val="both"/>
      </w:pPr>
      <w:r>
        <w:t xml:space="preserve"> Pełną zdalną obsługę w zakresie pracy sterownika bez wpływu na bezpieczeństwo</w:t>
      </w:r>
      <w:r w:rsidR="00A96C57">
        <w:t xml:space="preserve"> </w:t>
      </w:r>
      <w:r>
        <w:t>ruchu drogowego.</w:t>
      </w:r>
    </w:p>
    <w:p w:rsidR="00F8603C" w:rsidRDefault="00F8603C" w:rsidP="003C4F4D">
      <w:pPr>
        <w:pStyle w:val="Akapitzlist"/>
        <w:numPr>
          <w:ilvl w:val="0"/>
          <w:numId w:val="18"/>
        </w:numPr>
        <w:jc w:val="both"/>
      </w:pPr>
      <w:r>
        <w:t xml:space="preserve"> Możliwość wyłączenia sterowania sygnałami dowolnej grupy sygnalizacyjnej i</w:t>
      </w:r>
      <w:r w:rsidR="005265AE">
        <w:t xml:space="preserve"> </w:t>
      </w:r>
      <w:r>
        <w:t>powtórnego włączenia (tj. powrót do sterowania jej sygnałami) w trakcie realizacji</w:t>
      </w:r>
      <w:r w:rsidR="005265AE">
        <w:t xml:space="preserve"> </w:t>
      </w:r>
      <w:r>
        <w:t>programu sygnalizacji bez konieczności wyłączania sterowania sygnalizacją z poziomu</w:t>
      </w:r>
      <w:r w:rsidR="005265AE">
        <w:t xml:space="preserve"> </w:t>
      </w:r>
      <w:r>
        <w:t>lokalnego jak i zdalnego.</w:t>
      </w:r>
    </w:p>
    <w:p w:rsidR="00F8603C" w:rsidRDefault="00F8603C" w:rsidP="003C4F4D">
      <w:pPr>
        <w:pStyle w:val="Akapitzlist"/>
        <w:numPr>
          <w:ilvl w:val="0"/>
          <w:numId w:val="18"/>
        </w:numPr>
        <w:jc w:val="both"/>
      </w:pPr>
      <w:r>
        <w:t xml:space="preserve"> Możliwość pobrania sparametryzowanego programu pracy sygnalizacji ze sterownika,</w:t>
      </w:r>
      <w:r w:rsidR="005265AE">
        <w:t xml:space="preserve"> </w:t>
      </w:r>
      <w:r>
        <w:t>edycję jego parametrów oraz wgranie zmodyfikowanych parametrów za pomocą</w:t>
      </w:r>
      <w:r w:rsidR="005265AE">
        <w:t xml:space="preserve"> </w:t>
      </w:r>
      <w:r>
        <w:t>komputera PC.</w:t>
      </w:r>
    </w:p>
    <w:p w:rsidR="00F8603C" w:rsidRDefault="00F8603C" w:rsidP="003C4F4D">
      <w:pPr>
        <w:pStyle w:val="Akapitzlist"/>
        <w:numPr>
          <w:ilvl w:val="0"/>
          <w:numId w:val="18"/>
        </w:numPr>
        <w:jc w:val="both"/>
      </w:pPr>
      <w:r>
        <w:t xml:space="preserve"> Zdalną zmianę dowolnego parametru niemającego bezpośredniego wpływu na</w:t>
      </w:r>
      <w:r w:rsidR="005265AE">
        <w:t xml:space="preserve"> </w:t>
      </w:r>
      <w:r>
        <w:t>bezpieczeństwo sterowania, bez przerywania pracy sygnalizacji (nie dopuszcza się</w:t>
      </w:r>
      <w:r w:rsidR="005265AE">
        <w:t xml:space="preserve"> </w:t>
      </w:r>
      <w:r>
        <w:t>wygaszania sygnalizacji, przełączania na tryb pracy ostrzegawczej lub przechodzenia</w:t>
      </w:r>
      <w:r w:rsidR="005265AE">
        <w:t xml:space="preserve"> </w:t>
      </w:r>
      <w:r>
        <w:t xml:space="preserve">programu przez tryb </w:t>
      </w:r>
      <w:proofErr w:type="spellStart"/>
      <w:r>
        <w:t>allred</w:t>
      </w:r>
      <w:proofErr w:type="spellEnd"/>
      <w:r>
        <w:t>)</w:t>
      </w:r>
    </w:p>
    <w:p w:rsidR="00F8603C" w:rsidRDefault="00F8603C" w:rsidP="003C4F4D">
      <w:pPr>
        <w:pStyle w:val="Akapitzlist"/>
        <w:numPr>
          <w:ilvl w:val="0"/>
          <w:numId w:val="19"/>
        </w:numPr>
        <w:jc w:val="both"/>
      </w:pPr>
      <w:r>
        <w:t>Zdalną zmianę całego programu sterownika bez konieczności wprowadzania</w:t>
      </w:r>
      <w:r w:rsidR="005265AE">
        <w:t xml:space="preserve"> </w:t>
      </w:r>
      <w:r>
        <w:t>jakichkolwiek zmian sprzętowych (wymiany jakichkolwiek modułów, przełączania</w:t>
      </w:r>
      <w:r w:rsidR="005265AE">
        <w:t xml:space="preserve"> </w:t>
      </w:r>
      <w:r>
        <w:t>jakichkolwiek przełączników, itp.)</w:t>
      </w:r>
    </w:p>
    <w:p w:rsidR="00F8603C" w:rsidRDefault="00F8603C" w:rsidP="003C4F4D">
      <w:pPr>
        <w:pStyle w:val="Akapitzlist"/>
        <w:numPr>
          <w:ilvl w:val="0"/>
          <w:numId w:val="19"/>
        </w:numPr>
        <w:jc w:val="both"/>
      </w:pPr>
      <w:r>
        <w:t>Wybór struktury programu na podstawie danych ze swobodnie definiowanych</w:t>
      </w:r>
      <w:r w:rsidR="005265AE">
        <w:t xml:space="preserve"> </w:t>
      </w:r>
      <w:r>
        <w:t>punktów pomiaru ruchu.</w:t>
      </w:r>
    </w:p>
    <w:p w:rsidR="00F8603C" w:rsidRDefault="00F8603C" w:rsidP="003C4F4D">
      <w:pPr>
        <w:pStyle w:val="Akapitzlist"/>
        <w:numPr>
          <w:ilvl w:val="0"/>
          <w:numId w:val="19"/>
        </w:numPr>
        <w:jc w:val="both"/>
      </w:pPr>
      <w:r>
        <w:t xml:space="preserve">Dynamiczne wydłużanie czasów </w:t>
      </w:r>
      <w:proofErr w:type="spellStart"/>
      <w:r>
        <w:t>międzyzielonych</w:t>
      </w:r>
      <w:proofErr w:type="spellEnd"/>
      <w:r>
        <w:t xml:space="preserve"> przez dowolny detektor ruchu</w:t>
      </w:r>
    </w:p>
    <w:p w:rsidR="00F8603C" w:rsidRDefault="00F8603C" w:rsidP="003C4F4D">
      <w:pPr>
        <w:pStyle w:val="Akapitzlist"/>
        <w:numPr>
          <w:ilvl w:val="0"/>
          <w:numId w:val="19"/>
        </w:numPr>
        <w:jc w:val="both"/>
      </w:pPr>
      <w:r>
        <w:lastRenderedPageBreak/>
        <w:t>Gromadzenie danych o ruchu (zliczanie zmian stanów detektorów, badanie czasu</w:t>
      </w:r>
      <w:r w:rsidR="005265AE">
        <w:t xml:space="preserve"> </w:t>
      </w:r>
      <w:r>
        <w:t>zajęcia detektorów) przez okres minimum 8 dni w interwałach 5 minutowych lub</w:t>
      </w:r>
      <w:r w:rsidR="005265AE">
        <w:t xml:space="preserve"> </w:t>
      </w:r>
      <w:r>
        <w:t>krótszych.</w:t>
      </w:r>
    </w:p>
    <w:p w:rsidR="00F8603C" w:rsidRDefault="00F8603C" w:rsidP="003C4F4D">
      <w:pPr>
        <w:pStyle w:val="Akapitzlist"/>
        <w:numPr>
          <w:ilvl w:val="0"/>
          <w:numId w:val="19"/>
        </w:numPr>
        <w:jc w:val="both"/>
      </w:pPr>
      <w:r>
        <w:t>Synchronizowanie zegara czasu rzeczywistego przy wykorzystaniu co najmniej GPS i z</w:t>
      </w:r>
      <w:r w:rsidR="005265AE">
        <w:t xml:space="preserve"> </w:t>
      </w:r>
      <w:r>
        <w:t>serwera czasu NTP.</w:t>
      </w:r>
    </w:p>
    <w:p w:rsidR="00F8603C" w:rsidRDefault="00F8603C" w:rsidP="003C4F4D">
      <w:pPr>
        <w:pStyle w:val="Akapitzlist"/>
        <w:numPr>
          <w:ilvl w:val="0"/>
          <w:numId w:val="20"/>
        </w:numPr>
        <w:jc w:val="both"/>
      </w:pPr>
      <w:r>
        <w:t>Podłączenie do systemu nadzorującego eksploatowanego aktualnie przez</w:t>
      </w:r>
      <w:r w:rsidR="005265AE">
        <w:t xml:space="preserve"> </w:t>
      </w:r>
      <w:r>
        <w:t>Zamawiającego.</w:t>
      </w:r>
    </w:p>
    <w:p w:rsidR="003C4F4D" w:rsidRDefault="003C4F4D" w:rsidP="003C4F4D">
      <w:pPr>
        <w:jc w:val="both"/>
      </w:pPr>
    </w:p>
    <w:p w:rsidR="00F8603C" w:rsidRDefault="00F8603C" w:rsidP="003C4F4D">
      <w:pPr>
        <w:jc w:val="both"/>
      </w:pPr>
      <w:r>
        <w:t>Sterownik musi być wyposażony w:</w:t>
      </w:r>
    </w:p>
    <w:p w:rsidR="00F8603C" w:rsidRDefault="00F8603C" w:rsidP="003C4F4D">
      <w:pPr>
        <w:pStyle w:val="Akapitzlist"/>
        <w:numPr>
          <w:ilvl w:val="0"/>
          <w:numId w:val="21"/>
        </w:numPr>
        <w:jc w:val="both"/>
      </w:pPr>
      <w:r>
        <w:t>Zabezpieczenie przed wgraniem niewłaściwego programu</w:t>
      </w:r>
    </w:p>
    <w:p w:rsidR="00F8603C" w:rsidRDefault="00F8603C" w:rsidP="003C4F4D">
      <w:pPr>
        <w:pStyle w:val="Akapitzlist"/>
        <w:numPr>
          <w:ilvl w:val="0"/>
          <w:numId w:val="21"/>
        </w:numPr>
        <w:jc w:val="both"/>
      </w:pPr>
      <w:r>
        <w:t>Złącze Ethernet umożliwiające komunikację w sieci TCP/IP, wymianę danych z innymi</w:t>
      </w:r>
      <w:r w:rsidR="005265AE">
        <w:t xml:space="preserve"> </w:t>
      </w:r>
      <w:r>
        <w:t>sterownikami, synchronizację zegara czasu rzeczywistego przy wykorzystaniu protokołu</w:t>
      </w:r>
      <w:r w:rsidR="005265AE">
        <w:t xml:space="preserve"> </w:t>
      </w:r>
      <w:r>
        <w:t>NTP</w:t>
      </w:r>
    </w:p>
    <w:p w:rsidR="00F8603C" w:rsidRDefault="00F8603C" w:rsidP="003C4F4D">
      <w:pPr>
        <w:pStyle w:val="Akapitzlist"/>
        <w:numPr>
          <w:ilvl w:val="0"/>
          <w:numId w:val="21"/>
        </w:numPr>
        <w:jc w:val="both"/>
      </w:pPr>
      <w:r>
        <w:t>Złącze USB umożliwiające zarówno zarchiwizowanie aktualnie eksploatowanego</w:t>
      </w:r>
      <w:r w:rsidR="005265AE">
        <w:t xml:space="preserve"> </w:t>
      </w:r>
      <w:r>
        <w:t>programu sterownika do pamięci USB jak i załadowanie kompletnie nowego programu</w:t>
      </w:r>
      <w:r w:rsidR="005265AE">
        <w:t xml:space="preserve"> </w:t>
      </w:r>
      <w:r>
        <w:t>sterownika z pamięci USB</w:t>
      </w:r>
    </w:p>
    <w:p w:rsidR="00F8603C" w:rsidRDefault="00F8603C" w:rsidP="003C4F4D">
      <w:pPr>
        <w:pStyle w:val="Akapitzlist"/>
        <w:numPr>
          <w:ilvl w:val="0"/>
          <w:numId w:val="21"/>
        </w:numPr>
        <w:jc w:val="both"/>
      </w:pPr>
      <w:r>
        <w:t>Moduły grup sygnałowych umożliwiające sterowanie obwodami wykonawczymi z</w:t>
      </w:r>
      <w:r w:rsidR="005265AE">
        <w:t xml:space="preserve"> </w:t>
      </w:r>
      <w:r>
        <w:t>zainstalowanymi źródłami światła o napięciach od 22 do 260V (zarówno LED jak i</w:t>
      </w:r>
      <w:r w:rsidR="005265AE">
        <w:t xml:space="preserve"> </w:t>
      </w:r>
      <w:r>
        <w:rPr>
          <w:rFonts w:hint="eastAsia"/>
        </w:rPr>
        <w:t>ż</w:t>
      </w:r>
      <w:r>
        <w:t>arowe)</w:t>
      </w:r>
    </w:p>
    <w:p w:rsidR="00F8603C" w:rsidRDefault="00F8603C" w:rsidP="003C4F4D">
      <w:pPr>
        <w:pStyle w:val="Akapitzlist"/>
        <w:numPr>
          <w:ilvl w:val="0"/>
          <w:numId w:val="21"/>
        </w:numPr>
        <w:jc w:val="both"/>
      </w:pPr>
      <w:r>
        <w:t>Wbudowany interfejs WWW umożliwiający</w:t>
      </w:r>
      <w:r w:rsidR="005265AE">
        <w:t>: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komunikację ze sterownikiem przez dowolną przeglądarkę internetową bez</w:t>
      </w:r>
      <w:r w:rsidR="005265AE">
        <w:t xml:space="preserve"> </w:t>
      </w:r>
      <w:r>
        <w:t xml:space="preserve">konieczności instalowania dodatkowego oprogramowania lub </w:t>
      </w:r>
      <w:proofErr w:type="spellStart"/>
      <w:r>
        <w:t>pluginów</w:t>
      </w:r>
      <w:proofErr w:type="spellEnd"/>
      <w:r>
        <w:t xml:space="preserve"> do</w:t>
      </w:r>
      <w:r w:rsidR="005265AE">
        <w:t xml:space="preserve"> </w:t>
      </w:r>
      <w:r>
        <w:t>przeglądarki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prezentację schematu skrzyżowania wraz z naniesionymi symbolami</w:t>
      </w:r>
      <w:r w:rsidR="005265AE">
        <w:t xml:space="preserve"> </w:t>
      </w:r>
      <w:r>
        <w:t>przedstawiającymi stan elementów sterowania (grup sygnałowych, detektorów,</w:t>
      </w:r>
      <w:r w:rsidR="005265AE">
        <w:t xml:space="preserve"> </w:t>
      </w:r>
      <w:r>
        <w:t>wejść, wyjść, itd.)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prezentację wykresu paskowego zarówno aktualnie wykonywanego programu</w:t>
      </w:r>
      <w:r w:rsidR="005265AE">
        <w:t xml:space="preserve"> </w:t>
      </w:r>
      <w:r>
        <w:t>jak i stanu zarejestrowanego wcześniej wykresu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przeglądanie zarejestrowanej historii błędów i zdarzeń,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sprawdzanie zarejestrowanej historii pomiarów temperatury w obudowie</w:t>
      </w:r>
      <w:r w:rsidR="005265AE">
        <w:t xml:space="preserve"> </w:t>
      </w:r>
      <w:r>
        <w:t>sterownika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sprawdzanie zarejestrowanej historii pomiarów napięcia zasilania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kontrolę bieżących oraz zapamiętanych obciążeń w grupach sygnałowych,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generowanie wykresu natężenia ruchu,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tworzenie kont użytkowników o różnych uprawnieniach</w:t>
      </w:r>
    </w:p>
    <w:p w:rsidR="00F8603C" w:rsidRDefault="00F8603C" w:rsidP="003C4F4D">
      <w:pPr>
        <w:pStyle w:val="Akapitzlist"/>
        <w:numPr>
          <w:ilvl w:val="0"/>
          <w:numId w:val="23"/>
        </w:numPr>
        <w:jc w:val="both"/>
      </w:pPr>
      <w:r>
        <w:t>Pulpit operatorski umożliwiający: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Załączenie i wyłączenie sygnalizacji świetlnej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Załączenie i wyłączenie trybu pracy ostrzegawczej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Załączenie i wyłączenie trybu pracy „Wszystko czerwone”</w:t>
      </w:r>
    </w:p>
    <w:p w:rsidR="00F8603C" w:rsidRDefault="00F8603C" w:rsidP="003C4F4D">
      <w:pPr>
        <w:pStyle w:val="Akapitzlist"/>
        <w:numPr>
          <w:ilvl w:val="0"/>
          <w:numId w:val="22"/>
        </w:numPr>
        <w:ind w:hanging="153"/>
        <w:jc w:val="both"/>
      </w:pPr>
      <w:r>
        <w:t>Załączenie i wyłączenie trybu pracy sekwencyjnej umożliwiającej ręczne</w:t>
      </w:r>
      <w:r w:rsidR="005265AE">
        <w:t xml:space="preserve"> </w:t>
      </w:r>
      <w:r>
        <w:t>przechodzenie między kolejnymi fazami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Przeprowadzenie testu podłączenia obwodów wykonawczych do sterownika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Sprawdzenie stanu logicznego dowolnej grupy sygnałowej</w:t>
      </w:r>
    </w:p>
    <w:p w:rsidR="00F8603C" w:rsidRDefault="00F8603C" w:rsidP="003C4F4D">
      <w:pPr>
        <w:pStyle w:val="Akapitzlist"/>
        <w:numPr>
          <w:ilvl w:val="0"/>
          <w:numId w:val="22"/>
        </w:numPr>
        <w:ind w:hanging="153"/>
        <w:jc w:val="both"/>
      </w:pPr>
      <w:r>
        <w:t>Sprawdzenie stanu fizycznego jaki jest generowany w kanałach wyjściowych</w:t>
      </w:r>
      <w:r w:rsidR="005265AE">
        <w:t xml:space="preserve"> </w:t>
      </w:r>
      <w:r>
        <w:t>modułów wykonawczych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Zmianę czasów maksymalnych sygnałów zielonych w dowolnej strukturze</w:t>
      </w:r>
      <w:r w:rsidR="005265AE">
        <w:t xml:space="preserve"> </w:t>
      </w:r>
      <w:r>
        <w:t>programu pracy sygnalizacji,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Zmianę czasów bezpiecznego zamykania sygnałów zielonych w dowolnej</w:t>
      </w:r>
      <w:r w:rsidR="005265AE">
        <w:t xml:space="preserve"> </w:t>
      </w:r>
      <w:r>
        <w:t>strukturze programu pracy sygnalizacji,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 xml:space="preserve">Modyfikację (zwiększenie) czasów </w:t>
      </w:r>
      <w:proofErr w:type="spellStart"/>
      <w:r>
        <w:t>międzyzielonych</w:t>
      </w:r>
      <w:proofErr w:type="spellEnd"/>
      <w:r>
        <w:t>;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t>Zmianę parametrów określających oddziaływanie detektorów ruchu na czasy</w:t>
      </w:r>
      <w:r w:rsidR="005265AE">
        <w:t xml:space="preserve"> </w:t>
      </w:r>
      <w:r>
        <w:t>sygnałów w grupach sygnalizacyjnych,</w:t>
      </w:r>
    </w:p>
    <w:p w:rsidR="00F8603C" w:rsidRDefault="00F8603C" w:rsidP="005265AE">
      <w:pPr>
        <w:pStyle w:val="Akapitzlist"/>
        <w:numPr>
          <w:ilvl w:val="0"/>
          <w:numId w:val="22"/>
        </w:numPr>
        <w:ind w:hanging="153"/>
        <w:jc w:val="both"/>
      </w:pPr>
      <w:r>
        <w:lastRenderedPageBreak/>
        <w:t>Zmianę parametrów nadzoru obwodów sygnałowych grup,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Wizualizację na wyświetlaczu aktualnego stanu sterownika, stanu grup</w:t>
      </w:r>
      <w:r w:rsidR="00832896">
        <w:t xml:space="preserve"> </w:t>
      </w:r>
      <w:r>
        <w:t>sygnałowych oraz elementów systemu detekcji,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Wyłączanie i załączanie pracy dowolnego detektora,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Dobór czułości pracy obwodu pętli indukcyjnej,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 xml:space="preserve">Wywołanie programu awaryjnego </w:t>
      </w:r>
      <w:proofErr w:type="spellStart"/>
      <w:r>
        <w:t>stałoczasowego</w:t>
      </w:r>
      <w:proofErr w:type="spellEnd"/>
      <w:r>
        <w:t xml:space="preserve"> przy użyciu dedykowanego</w:t>
      </w:r>
      <w:r w:rsidR="005265AE">
        <w:t xml:space="preserve"> </w:t>
      </w:r>
      <w:r>
        <w:t>przycisku na pulpicie sterownika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Odczyt zgromadzonych w sterowniku zapisów błędów i zdarzeń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Sprawdzenie mocy pobieranej przez poszczególne sygnały w grupach</w:t>
      </w:r>
      <w:r w:rsidR="005265AE">
        <w:t xml:space="preserve"> </w:t>
      </w:r>
      <w:r>
        <w:t>sygnałowych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Sprawdzenie działania i dostrojenie pętli indukcyjnych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Sprawdzenie stanu wejść i wyjść dwustanowych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Edycję planu dobowo - tygodniowego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Zarchiwizowanie całego programu wgranego do sterownika w pamięci</w:t>
      </w:r>
      <w:r w:rsidR="005265AE">
        <w:t xml:space="preserve"> </w:t>
      </w:r>
      <w:r>
        <w:t>wewnętrznej lub na pamięć USB</w:t>
      </w:r>
    </w:p>
    <w:p w:rsidR="00F8603C" w:rsidRDefault="00F8603C" w:rsidP="00832896">
      <w:pPr>
        <w:pStyle w:val="Akapitzlist"/>
        <w:numPr>
          <w:ilvl w:val="0"/>
          <w:numId w:val="22"/>
        </w:numPr>
        <w:ind w:left="142" w:hanging="142"/>
        <w:jc w:val="both"/>
      </w:pPr>
      <w:r>
        <w:t>Wgranie całkowicie nowego programu sterownika z pamięci USB</w:t>
      </w:r>
    </w:p>
    <w:p w:rsidR="003C4F4D" w:rsidRDefault="003C4F4D" w:rsidP="003C4F4D">
      <w:pPr>
        <w:jc w:val="both"/>
      </w:pPr>
    </w:p>
    <w:p w:rsidR="00F8603C" w:rsidRDefault="00F8603C" w:rsidP="003C4F4D">
      <w:pPr>
        <w:jc w:val="both"/>
      </w:pPr>
      <w:r>
        <w:t>Komunikacja z innymi sterownikami</w:t>
      </w:r>
    </w:p>
    <w:p w:rsidR="00F8603C" w:rsidRDefault="00F8603C" w:rsidP="003C4F4D">
      <w:pPr>
        <w:jc w:val="both"/>
      </w:pPr>
      <w:r>
        <w:t>Komunikacja z innymi sterownikami w ramach koordynowanego ciągu musi odbywać się</w:t>
      </w:r>
      <w:r w:rsidR="005265AE">
        <w:t xml:space="preserve"> </w:t>
      </w:r>
      <w:r>
        <w:t>poprzez protokół TCP/IP. Karta sieciowa umożliwiająca pracę w sieci Ethernet TCP/IP musi być</w:t>
      </w:r>
      <w:r w:rsidR="005265AE">
        <w:t xml:space="preserve"> </w:t>
      </w:r>
      <w:r>
        <w:t xml:space="preserve">integralnym wyposażeniem sterownika – nie dopuszcza się stosowania </w:t>
      </w:r>
      <w:proofErr w:type="spellStart"/>
      <w:r>
        <w:t>mediakonwerterów</w:t>
      </w:r>
      <w:proofErr w:type="spellEnd"/>
      <w:r w:rsidR="005265AE">
        <w:t xml:space="preserve"> </w:t>
      </w:r>
      <w:r>
        <w:t>typu RS232 (RS485, itd.) - Ethernet TCP/IP. Karta sieciowa musi posiadać standardowe złącze</w:t>
      </w:r>
      <w:r w:rsidR="005265AE">
        <w:t xml:space="preserve"> </w:t>
      </w:r>
      <w:r>
        <w:t>Ethernet (RJ-45). Za pośrednictwem karty sieciowej sterowniki muszą gwarantować</w:t>
      </w:r>
      <w:r w:rsidR="005265AE">
        <w:t xml:space="preserve"> </w:t>
      </w:r>
      <w:r>
        <w:t>wielokanałowy dostęp (co najmniej 10 kanałów), tj. jednocześnie wymieniać dane z innymi</w:t>
      </w:r>
      <w:r w:rsidR="005265AE">
        <w:t xml:space="preserve"> </w:t>
      </w:r>
      <w:r>
        <w:t>sterownikami, udostępniać użytkownikowi wizualizację skrzyżowania (stan grup sygnałowych i</w:t>
      </w:r>
      <w:r w:rsidR="005265AE">
        <w:t xml:space="preserve"> </w:t>
      </w:r>
      <w:r>
        <w:t>detekcji), możliwość wgrywania parametrów programu pracy sygnalizacji i zapewnić łączność</w:t>
      </w:r>
      <w:r w:rsidR="005265AE">
        <w:t xml:space="preserve"> </w:t>
      </w:r>
      <w:r>
        <w:t>terminalową.</w:t>
      </w:r>
      <w:r w:rsidR="005265AE">
        <w:t xml:space="preserve"> </w:t>
      </w:r>
      <w:r>
        <w:t>Sterownik musi zapewnić wymianę dwukierunkową następujących danych ze sterownikami</w:t>
      </w:r>
      <w:r w:rsidR="005265AE">
        <w:t xml:space="preserve"> </w:t>
      </w:r>
      <w:r>
        <w:t>zainstalowanymi obecnie na ciągach koordynowanych poprzez sieć Ethernet TCP/IP: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stanu grup sygnałowych;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stanu detektorów fizycznych (pętli indukcyjnych);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stanu detektorów wirtualnych (</w:t>
      </w:r>
      <w:proofErr w:type="spellStart"/>
      <w:r>
        <w:t>wideodetekcja</w:t>
      </w:r>
      <w:proofErr w:type="spellEnd"/>
      <w:r>
        <w:t>);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stanu przycisków dla pieszych;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numeru aktualnie realizowanej fazy;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informacji o żądaniu obsługi grupy sygnałowej;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pozostałych czasach sygnału zielonego we wskazanych grupach;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informacji o uszkodzeniu detekcji</w:t>
      </w:r>
    </w:p>
    <w:p w:rsidR="00F8603C" w:rsidRDefault="00F8603C" w:rsidP="003C4F4D">
      <w:pPr>
        <w:pStyle w:val="Akapitzlist"/>
        <w:numPr>
          <w:ilvl w:val="0"/>
          <w:numId w:val="22"/>
        </w:numPr>
        <w:jc w:val="both"/>
      </w:pPr>
      <w:r>
        <w:t>informacji o początku cyklu</w:t>
      </w:r>
    </w:p>
    <w:p w:rsidR="004B347F" w:rsidRDefault="00F8603C" w:rsidP="003C4F4D">
      <w:pPr>
        <w:jc w:val="both"/>
      </w:pPr>
      <w:r>
        <w:t>Protokoły wymiany informacji gwarantujące realizację komunikacji z innymi sterownikami</w:t>
      </w:r>
      <w:r w:rsidR="005265AE">
        <w:t xml:space="preserve"> </w:t>
      </w:r>
      <w:r>
        <w:t>muszą być zaimplementowane w sterowniku. Ze względu na minimalizację</w:t>
      </w:r>
      <w:r w:rsidR="005265AE">
        <w:t xml:space="preserve"> </w:t>
      </w:r>
      <w:r>
        <w:t>prawdopodobieństwa wystąpienia usterki, nie dopuszcza się stosowania zewnętrznych</w:t>
      </w:r>
      <w:r w:rsidR="005265AE">
        <w:t xml:space="preserve"> </w:t>
      </w:r>
      <w:r>
        <w:t>urządzeń do zapewnienia takiej komunikacji.</w:t>
      </w:r>
    </w:p>
    <w:sectPr w:rsidR="004B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7C71"/>
    <w:multiLevelType w:val="hybridMultilevel"/>
    <w:tmpl w:val="C37CF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268C0"/>
    <w:multiLevelType w:val="hybridMultilevel"/>
    <w:tmpl w:val="642E9A82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9F24796"/>
    <w:multiLevelType w:val="hybridMultilevel"/>
    <w:tmpl w:val="19289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15443"/>
    <w:multiLevelType w:val="hybridMultilevel"/>
    <w:tmpl w:val="AF0E40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F57DB"/>
    <w:multiLevelType w:val="hybridMultilevel"/>
    <w:tmpl w:val="6D20E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1A3A"/>
    <w:multiLevelType w:val="hybridMultilevel"/>
    <w:tmpl w:val="B6847A8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05A28"/>
    <w:multiLevelType w:val="hybridMultilevel"/>
    <w:tmpl w:val="D3E818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968F3"/>
    <w:multiLevelType w:val="hybridMultilevel"/>
    <w:tmpl w:val="F01CF1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30BDF"/>
    <w:multiLevelType w:val="hybridMultilevel"/>
    <w:tmpl w:val="9594E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65DDE"/>
    <w:multiLevelType w:val="hybridMultilevel"/>
    <w:tmpl w:val="C92EA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91824"/>
    <w:multiLevelType w:val="hybridMultilevel"/>
    <w:tmpl w:val="AB76396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D6812"/>
    <w:multiLevelType w:val="hybridMultilevel"/>
    <w:tmpl w:val="A530BF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D18CA"/>
    <w:multiLevelType w:val="hybridMultilevel"/>
    <w:tmpl w:val="41FA8A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90867"/>
    <w:multiLevelType w:val="hybridMultilevel"/>
    <w:tmpl w:val="F8BCF4C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01E6A"/>
    <w:multiLevelType w:val="hybridMultilevel"/>
    <w:tmpl w:val="11C4E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01EA4"/>
    <w:multiLevelType w:val="hybridMultilevel"/>
    <w:tmpl w:val="51407B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F70A2"/>
    <w:multiLevelType w:val="hybridMultilevel"/>
    <w:tmpl w:val="87902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F0101"/>
    <w:multiLevelType w:val="hybridMultilevel"/>
    <w:tmpl w:val="46082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12017"/>
    <w:multiLevelType w:val="hybridMultilevel"/>
    <w:tmpl w:val="AFE2F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F38C3"/>
    <w:multiLevelType w:val="hybridMultilevel"/>
    <w:tmpl w:val="93164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31FA9"/>
    <w:multiLevelType w:val="hybridMultilevel"/>
    <w:tmpl w:val="A70A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24B26"/>
    <w:multiLevelType w:val="hybridMultilevel"/>
    <w:tmpl w:val="65BEA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EA35F0"/>
    <w:multiLevelType w:val="hybridMultilevel"/>
    <w:tmpl w:val="0EA29BE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E344C"/>
    <w:multiLevelType w:val="hybridMultilevel"/>
    <w:tmpl w:val="1E48F7A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A8544C"/>
    <w:multiLevelType w:val="hybridMultilevel"/>
    <w:tmpl w:val="7BDE65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84965"/>
    <w:multiLevelType w:val="hybridMultilevel"/>
    <w:tmpl w:val="C972C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4"/>
  </w:num>
  <w:num w:numId="5">
    <w:abstractNumId w:val="18"/>
  </w:num>
  <w:num w:numId="6">
    <w:abstractNumId w:val="2"/>
  </w:num>
  <w:num w:numId="7">
    <w:abstractNumId w:val="17"/>
  </w:num>
  <w:num w:numId="8">
    <w:abstractNumId w:val="16"/>
  </w:num>
  <w:num w:numId="9">
    <w:abstractNumId w:val="5"/>
  </w:num>
  <w:num w:numId="10">
    <w:abstractNumId w:val="14"/>
  </w:num>
  <w:num w:numId="11">
    <w:abstractNumId w:val="23"/>
  </w:num>
  <w:num w:numId="12">
    <w:abstractNumId w:val="24"/>
  </w:num>
  <w:num w:numId="13">
    <w:abstractNumId w:val="0"/>
  </w:num>
  <w:num w:numId="14">
    <w:abstractNumId w:val="12"/>
  </w:num>
  <w:num w:numId="15">
    <w:abstractNumId w:val="10"/>
  </w:num>
  <w:num w:numId="16">
    <w:abstractNumId w:val="22"/>
  </w:num>
  <w:num w:numId="17">
    <w:abstractNumId w:val="25"/>
  </w:num>
  <w:num w:numId="18">
    <w:abstractNumId w:val="11"/>
  </w:num>
  <w:num w:numId="19">
    <w:abstractNumId w:val="13"/>
  </w:num>
  <w:num w:numId="20">
    <w:abstractNumId w:val="3"/>
  </w:num>
  <w:num w:numId="21">
    <w:abstractNumId w:val="6"/>
  </w:num>
  <w:num w:numId="22">
    <w:abstractNumId w:val="8"/>
  </w:num>
  <w:num w:numId="23">
    <w:abstractNumId w:val="7"/>
  </w:num>
  <w:num w:numId="24">
    <w:abstractNumId w:val="15"/>
  </w:num>
  <w:num w:numId="25">
    <w:abstractNumId w:val="2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56"/>
    <w:rsid w:val="003C4F4D"/>
    <w:rsid w:val="004B347F"/>
    <w:rsid w:val="005265AE"/>
    <w:rsid w:val="0069774A"/>
    <w:rsid w:val="00832896"/>
    <w:rsid w:val="00A96C57"/>
    <w:rsid w:val="00C81856"/>
    <w:rsid w:val="00D101F8"/>
    <w:rsid w:val="00DD42D8"/>
    <w:rsid w:val="00F65666"/>
    <w:rsid w:val="00F8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02AA55-9B8F-41E3-9B5A-3D352F0D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6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2098</Words>
  <Characters>12591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Sajdak</dc:creator>
  <cp:keywords/>
  <dc:description/>
  <cp:lastModifiedBy>Monika Sajdak</cp:lastModifiedBy>
  <cp:revision>11</cp:revision>
  <dcterms:created xsi:type="dcterms:W3CDTF">2026-04-29T11:38:00Z</dcterms:created>
  <dcterms:modified xsi:type="dcterms:W3CDTF">2026-04-30T05:37:00Z</dcterms:modified>
</cp:coreProperties>
</file>